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E2F15">
      <w:pPr>
        <w:keepNext w:val="0"/>
        <w:keepLines w:val="0"/>
        <w:pageBreakBefore w:val="0"/>
        <w:widowControl w:val="0"/>
        <w:kinsoku/>
        <w:wordWrap/>
        <w:overflowPunct/>
        <w:topLinePunct w:val="0"/>
        <w:autoSpaceDE/>
        <w:autoSpaceDN/>
        <w:adjustRightInd/>
        <w:snapToGrid w:val="0"/>
        <w:spacing w:beforeAutospacing="0" w:afterAutospacing="0" w:line="578" w:lineRule="exact"/>
        <w:jc w:val="center"/>
        <w:rPr>
          <w:rFonts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达州市公立医院改革与高质量发展</w:t>
      </w:r>
    </w:p>
    <w:p w14:paraId="38851687">
      <w:pPr>
        <w:keepNext w:val="0"/>
        <w:keepLines w:val="0"/>
        <w:pageBreakBefore w:val="0"/>
        <w:widowControl w:val="0"/>
        <w:kinsoku/>
        <w:wordWrap/>
        <w:overflowPunct/>
        <w:topLinePunct w:val="0"/>
        <w:autoSpaceDE/>
        <w:autoSpaceDN/>
        <w:adjustRightInd/>
        <w:snapToGrid w:val="0"/>
        <w:spacing w:beforeAutospacing="0" w:afterAutospacing="0" w:line="578" w:lineRule="exact"/>
        <w:jc w:val="center"/>
        <w:rPr>
          <w:rFonts w:hint="eastAsia"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sz w:val="44"/>
          <w:szCs w:val="44"/>
        </w:rPr>
        <w:t>示范项目</w:t>
      </w:r>
      <w:r>
        <w:rPr>
          <w:rFonts w:hint="eastAsia" w:ascii="方正小标宋简体" w:hAnsi="方正小标宋简体" w:eastAsia="方正小标宋简体" w:cs="方正小标宋简体"/>
          <w:b w:val="0"/>
          <w:bCs/>
          <w:sz w:val="44"/>
          <w:szCs w:val="44"/>
        </w:rPr>
        <w:t>转移支付20</w:t>
      </w:r>
      <w:r>
        <w:rPr>
          <w:rFonts w:hint="eastAsia" w:ascii="方正小标宋简体" w:hAnsi="方正小标宋简体" w:eastAsia="方正小标宋简体" w:cs="方正小标宋简体"/>
          <w:b w:val="0"/>
          <w:bCs/>
          <w:sz w:val="44"/>
          <w:szCs w:val="44"/>
          <w:lang w:val="en-US" w:eastAsia="zh-CN"/>
        </w:rPr>
        <w:t>24</w:t>
      </w:r>
      <w:r>
        <w:rPr>
          <w:rFonts w:hint="eastAsia" w:ascii="方正小标宋简体" w:hAnsi="方正小标宋简体" w:eastAsia="方正小标宋简体" w:cs="方正小标宋简体"/>
          <w:b w:val="0"/>
          <w:bCs/>
          <w:sz w:val="44"/>
          <w:szCs w:val="44"/>
        </w:rPr>
        <w:t>年度绩效自评报告</w:t>
      </w:r>
    </w:p>
    <w:p w14:paraId="14F93671">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jc w:val="center"/>
        <w:textAlignment w:val="auto"/>
        <w:rPr>
          <w:rFonts w:ascii="仿宋_GB2312"/>
          <w:szCs w:val="32"/>
        </w:rPr>
      </w:pPr>
    </w:p>
    <w:p w14:paraId="756F1E89">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一、绩效目标分解下达情况</w:t>
      </w:r>
    </w:p>
    <w:p w14:paraId="3BBFDFA2">
      <w:pPr>
        <w:keepNext w:val="0"/>
        <w:keepLines w:val="0"/>
        <w:pageBreakBefore w:val="0"/>
        <w:widowControl w:val="0"/>
        <w:kinsoku/>
        <w:wordWrap/>
        <w:overflowPunct/>
        <w:topLinePunct w:val="0"/>
        <w:autoSpaceDE/>
        <w:autoSpaceDN/>
        <w:adjustRightInd/>
        <w:snapToGrid w:val="0"/>
        <w:spacing w:beforeAutospacing="0" w:afterAutospacing="0" w:line="578" w:lineRule="exact"/>
        <w:ind w:firstLine="640" w:firstLineChars="200"/>
        <w:outlineLvl w:val="0"/>
        <w:rPr>
          <w:szCs w:val="32"/>
        </w:rPr>
      </w:pPr>
      <w:r>
        <w:rPr>
          <w:rFonts w:eastAsia="仿宋_GB2312"/>
          <w:sz w:val="32"/>
          <w:szCs w:val="20"/>
          <w:lang w:val="en-US" w:eastAsia="zh-CN" w:bidi="ar-SA"/>
        </w:rPr>
        <w:t>2024年中央财政转移支付我市公立医院改革与高质量发展示范项目资金总额</w:t>
      </w:r>
      <w:r>
        <w:rPr>
          <w:sz w:val="32"/>
          <w:szCs w:val="20"/>
          <w:lang w:val="en-US" w:eastAsia="zh-CN" w:bidi="ar-SA"/>
        </w:rPr>
        <w:t>10000</w:t>
      </w:r>
      <w:r>
        <w:rPr>
          <w:rFonts w:eastAsia="仿宋_GB2312"/>
          <w:sz w:val="32"/>
          <w:szCs w:val="20"/>
          <w:lang w:val="en-US" w:eastAsia="zh-CN" w:bidi="ar-SA"/>
        </w:rPr>
        <w:t>万元</w:t>
      </w:r>
      <w:r>
        <w:rPr>
          <w:sz w:val="32"/>
          <w:szCs w:val="20"/>
          <w:lang w:val="en-US" w:eastAsia="zh-CN" w:bidi="ar-SA"/>
        </w:rPr>
        <w:t>，按照示范项目实施要求，我市</w:t>
      </w:r>
      <w:r>
        <w:rPr>
          <w:szCs w:val="32"/>
        </w:rPr>
        <w:t>地方财政共配套资金10546万元（其中市级5546万元，县级5000万元），医院自筹等其他资金共计2720万元。</w:t>
      </w:r>
    </w:p>
    <w:p w14:paraId="1E42B448">
      <w:pPr>
        <w:keepNext w:val="0"/>
        <w:keepLines w:val="0"/>
        <w:pageBreakBefore w:val="0"/>
        <w:widowControl w:val="0"/>
        <w:kinsoku/>
        <w:wordWrap/>
        <w:overflowPunct/>
        <w:topLinePunct w:val="0"/>
        <w:autoSpaceDE/>
        <w:autoSpaceDN/>
        <w:spacing w:beforeAutospacing="0" w:afterAutospacing="0" w:line="578" w:lineRule="exact"/>
        <w:ind w:firstLine="640" w:firstLineChars="200"/>
        <w:rPr>
          <w:sz w:val="32"/>
          <w:szCs w:val="20"/>
          <w:lang w:val="en-US" w:eastAsia="zh-CN" w:bidi="ar-SA"/>
        </w:rPr>
      </w:pPr>
      <w:r>
        <w:rPr>
          <w:sz w:val="32"/>
          <w:szCs w:val="20"/>
          <w:lang w:val="en-US" w:eastAsia="zh-CN" w:bidi="ar-SA"/>
        </w:rPr>
        <w:t>项目年度总体目标有3方面，一是医疗能力稳步提升，就医体验不断优化，建设省级区域医疗中心1个，新增省级临床重点专科2个、市级临床重点专科30个、县级临床重点专科40个，硕博人才总量突破1100名；二是打造卫生健康大数据中心，建设卫生健康专网和互联网医院达州分院信息管理平台，建成健康达州智慧服务平台，28家二级及以上公立医院检查检验结果实现互认，升级改造医院HRP运营系统；三是优化DRG支付标准、考核方案等改革配套措施，建立医疗服务价格形成机制，启动首轮调价。</w:t>
      </w:r>
    </w:p>
    <w:p w14:paraId="32BE664E">
      <w:pPr>
        <w:keepNext w:val="0"/>
        <w:keepLines w:val="0"/>
        <w:pageBreakBefore w:val="0"/>
        <w:widowControl w:val="0"/>
        <w:kinsoku/>
        <w:wordWrap/>
        <w:overflowPunct/>
        <w:topLinePunct w:val="0"/>
        <w:autoSpaceDE/>
        <w:autoSpaceDN/>
        <w:spacing w:beforeAutospacing="0" w:afterAutospacing="0" w:line="578" w:lineRule="exact"/>
        <w:ind w:firstLine="640" w:firstLineChars="200"/>
        <w:rPr>
          <w:rFonts w:eastAsia="仿宋_GB2312"/>
          <w:sz w:val="32"/>
          <w:szCs w:val="20"/>
          <w:lang w:val="en-US" w:eastAsia="zh-CN" w:bidi="ar-SA"/>
        </w:rPr>
      </w:pPr>
      <w:r>
        <w:rPr>
          <w:sz w:val="32"/>
          <w:szCs w:val="20"/>
          <w:lang w:val="en-US" w:eastAsia="zh-CN" w:bidi="ar-SA"/>
        </w:rPr>
        <w:t>国家下达我市绩效指标共21项，其中产出指标17项，效益指标2项，满意度指标2项。我市根据国家绩效指标内容设置了数量指标、经济效益等指标内容和指标值，并随资金下达文件分解至各县市区和市级相关实施单位。同时由示范项目领导小组办公室牵头专人负责对接业务科室，按照“谁支出，谁负责”的原则，由分配资金的业务科室进行绩效自评并指导各县市区和项目具体实施单位开展了绩效自评工作。</w:t>
      </w:r>
    </w:p>
    <w:p w14:paraId="3855051B">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rPr>
          <w:rFonts w:eastAsia="黑体"/>
          <w:bCs/>
          <w:szCs w:val="32"/>
        </w:rPr>
      </w:pPr>
      <w:r>
        <w:rPr>
          <w:rFonts w:eastAsia="黑体"/>
          <w:bCs/>
          <w:szCs w:val="32"/>
        </w:rPr>
        <w:t>二、</w:t>
      </w:r>
      <w:r>
        <w:rPr>
          <w:rFonts w:eastAsia="黑体"/>
          <w:bCs/>
          <w:szCs w:val="32"/>
          <w:lang w:eastAsia="zh-CN"/>
        </w:rPr>
        <w:t>绩效</w:t>
      </w:r>
      <w:r>
        <w:rPr>
          <w:rFonts w:eastAsia="黑体"/>
          <w:bCs/>
          <w:szCs w:val="32"/>
        </w:rPr>
        <w:t>情况分析</w:t>
      </w:r>
    </w:p>
    <w:p w14:paraId="752EC63B">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outlineLvl w:val="0"/>
        <w:rPr>
          <w:rFonts w:eastAsia="楷体_GB2312"/>
          <w:szCs w:val="32"/>
          <w:lang w:eastAsia="zh-CN"/>
        </w:rPr>
      </w:pPr>
      <w:r>
        <w:rPr>
          <w:rFonts w:eastAsia="楷体_GB2312"/>
          <w:szCs w:val="32"/>
        </w:rPr>
        <w:t>（一）资金投入情况分析</w:t>
      </w:r>
    </w:p>
    <w:p w14:paraId="78656F65">
      <w:pPr>
        <w:keepNext w:val="0"/>
        <w:keepLines w:val="0"/>
        <w:pageBreakBefore w:val="0"/>
        <w:widowControl w:val="0"/>
        <w:kinsoku/>
        <w:wordWrap/>
        <w:overflowPunct/>
        <w:topLinePunct w:val="0"/>
        <w:autoSpaceDE/>
        <w:autoSpaceDN/>
        <w:spacing w:beforeAutospacing="0" w:afterAutospacing="0" w:line="578" w:lineRule="exact"/>
        <w:ind w:firstLine="640" w:firstLineChars="200"/>
        <w:rPr>
          <w:sz w:val="32"/>
          <w:szCs w:val="20"/>
          <w:lang w:val="en-US" w:eastAsia="zh-CN"/>
        </w:rPr>
      </w:pPr>
      <w:r>
        <w:rPr>
          <w:rFonts w:eastAsia="仿宋_GB2312"/>
          <w:sz w:val="32"/>
          <w:szCs w:val="20"/>
          <w:lang w:val="en-US" w:eastAsia="zh-CN" w:bidi="ar-SA"/>
        </w:rPr>
        <w:t>中央资金预算10000万元，到位10000万元，到位率</w:t>
      </w:r>
      <w:r>
        <w:rPr>
          <w:sz w:val="32"/>
          <w:szCs w:val="20"/>
          <w:lang w:val="en-US" w:eastAsia="zh-CN" w:bidi="ar-SA"/>
        </w:rPr>
        <w:t>为100</w:t>
      </w:r>
      <w:r>
        <w:rPr>
          <w:rFonts w:eastAsia="仿宋_GB2312"/>
          <w:sz w:val="32"/>
          <w:szCs w:val="20"/>
          <w:lang w:val="en-US" w:eastAsia="zh-CN" w:bidi="ar-SA"/>
        </w:rPr>
        <w:t>%</w:t>
      </w:r>
      <w:r>
        <w:rPr>
          <w:sz w:val="32"/>
          <w:szCs w:val="20"/>
          <w:lang w:val="en-US" w:eastAsia="zh-CN" w:bidi="ar-SA"/>
        </w:rPr>
        <w:t>，执行</w:t>
      </w:r>
      <w:r>
        <w:rPr>
          <w:sz w:val="32"/>
          <w:szCs w:val="20"/>
          <w:lang w:val="en-US" w:eastAsia="zh-CN"/>
        </w:rPr>
        <w:t>1387.97万元，预算</w:t>
      </w:r>
      <w:r>
        <w:rPr>
          <w:rFonts w:eastAsia="仿宋_GB2312"/>
          <w:bCs/>
          <w:snapToGrid w:val="0"/>
          <w:kern w:val="0"/>
          <w:sz w:val="32"/>
          <w:szCs w:val="32"/>
          <w:lang w:val="en-US" w:eastAsia="zh-CN" w:bidi="ar-SA"/>
        </w:rPr>
        <w:t>执行率为</w:t>
      </w:r>
      <w:r>
        <w:rPr>
          <w:rFonts w:eastAsia="仿宋_GB2312"/>
          <w:bCs/>
        </w:rPr>
        <w:t>13.88%</w:t>
      </w:r>
      <w:r>
        <w:rPr>
          <w:bCs/>
          <w:lang w:eastAsia="zh-CN"/>
        </w:rPr>
        <w:t>。市县地方财政共预算资金10000万元，到位10546万元，到位率105.46%，执行1493.22万元，预算执行率为14.16%，其他资金到位2720万元，到位率100%，执行1243.55万元，执行率45.72%。</w:t>
      </w:r>
    </w:p>
    <w:p w14:paraId="62B2E29F">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outlineLvl w:val="0"/>
        <w:rPr>
          <w:rFonts w:eastAsia="楷体_GB2312"/>
          <w:szCs w:val="32"/>
          <w:lang w:eastAsia="zh-CN"/>
        </w:rPr>
      </w:pPr>
      <w:r>
        <w:rPr>
          <w:rFonts w:eastAsia="楷体_GB2312"/>
          <w:bCs/>
          <w:szCs w:val="32"/>
          <w:lang w:eastAsia="zh-CN"/>
        </w:rPr>
        <w:t>（二）资金管理情况分析</w:t>
      </w:r>
    </w:p>
    <w:p w14:paraId="44ED3407">
      <w:pPr>
        <w:keepNext w:val="0"/>
        <w:keepLines w:val="0"/>
        <w:pageBreakBefore w:val="0"/>
        <w:widowControl w:val="0"/>
        <w:kinsoku/>
        <w:wordWrap/>
        <w:overflowPunct/>
        <w:topLinePunct w:val="0"/>
        <w:autoSpaceDE/>
        <w:autoSpaceDN/>
        <w:spacing w:beforeAutospacing="0" w:afterAutospacing="0" w:line="578" w:lineRule="exact"/>
        <w:ind w:firstLine="640" w:firstLineChars="200"/>
        <w:rPr>
          <w:rFonts w:eastAsia="仿宋_GB2312"/>
          <w:sz w:val="32"/>
          <w:szCs w:val="20"/>
          <w:lang w:val="en-US" w:eastAsia="zh-CN" w:bidi="ar-SA"/>
        </w:rPr>
      </w:pPr>
      <w:r>
        <w:rPr>
          <w:rFonts w:eastAsia="仿宋_GB2312"/>
          <w:sz w:val="32"/>
          <w:szCs w:val="20"/>
          <w:lang w:val="en-US" w:eastAsia="zh-CN" w:bidi="ar-SA"/>
        </w:rPr>
        <w:t>示范项目中央资金于2024年11月下达我市后，我委第一时间与市财</w:t>
      </w:r>
      <w:r>
        <w:rPr>
          <w:rFonts w:hint="eastAsia"/>
          <w:sz w:val="32"/>
          <w:szCs w:val="20"/>
          <w:lang w:val="en-US" w:eastAsia="zh-CN" w:bidi="ar-SA"/>
        </w:rPr>
        <w:t>政局</w:t>
      </w:r>
      <w:r>
        <w:rPr>
          <w:rFonts w:eastAsia="仿宋_GB2312"/>
          <w:sz w:val="32"/>
          <w:szCs w:val="20"/>
          <w:lang w:val="en-US" w:eastAsia="zh-CN" w:bidi="ar-SA"/>
        </w:rPr>
        <w:t>共同协商拟定资金分配建议方案并经市委常委会、市政府常务会、市委财经委员会审定后于12月下达各县（市、区）。资金按照财政国库集中支付管理规定下达和拨付项目单位，未出现违规将资金从国库转入财政专户或支付到预算单位实有资金账户等问题。为规范项目资金使用，制定出台了《达州市关于加强公立医院改革与高质量发展示范项目管理有关事项的通知》和《达州市公立医院改革与高质量发展示范项目资金管理办法》，督促各项目实施单位建立完善内控制度，健全财务、资产、会计核算制度，加强和规范财务管理和会计核算工作，强化内部管理，做到专款专用，无截留、私分、挤占和挪用资金问题。</w:t>
      </w:r>
    </w:p>
    <w:p w14:paraId="4B4396CA">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outlineLvl w:val="0"/>
        <w:rPr>
          <w:rFonts w:eastAsia="楷体_GB2312"/>
          <w:szCs w:val="32"/>
          <w:lang w:eastAsia="zh-CN"/>
        </w:rPr>
      </w:pPr>
      <w:r>
        <w:rPr>
          <w:rFonts w:eastAsia="楷体_GB2312"/>
          <w:bCs/>
          <w:szCs w:val="32"/>
        </w:rPr>
        <w:t>（</w:t>
      </w:r>
      <w:r>
        <w:rPr>
          <w:rFonts w:eastAsia="楷体_GB2312"/>
          <w:bCs/>
          <w:szCs w:val="32"/>
          <w:lang w:eastAsia="zh-CN"/>
        </w:rPr>
        <w:t>三</w:t>
      </w:r>
      <w:r>
        <w:rPr>
          <w:rFonts w:eastAsia="楷体_GB2312"/>
          <w:bCs/>
          <w:szCs w:val="32"/>
        </w:rPr>
        <w:t>）总体绩效目标完成情况分析</w:t>
      </w:r>
    </w:p>
    <w:p w14:paraId="3311BDBE">
      <w:pPr>
        <w:keepNext w:val="0"/>
        <w:keepLines w:val="0"/>
        <w:pageBreakBefore w:val="0"/>
        <w:widowControl w:val="0"/>
        <w:kinsoku/>
        <w:wordWrap/>
        <w:overflowPunct/>
        <w:topLinePunct w:val="0"/>
        <w:autoSpaceDE/>
        <w:autoSpaceDN/>
        <w:spacing w:beforeAutospacing="0" w:afterAutospacing="0" w:line="578" w:lineRule="exact"/>
        <w:ind w:left="600" w:leftChars="200" w:firstLine="0"/>
        <w:rPr>
          <w:sz w:val="32"/>
          <w:szCs w:val="20"/>
          <w:lang w:val="en-US" w:eastAsia="zh-CN" w:bidi="ar-SA"/>
        </w:rPr>
      </w:pPr>
      <w:r>
        <w:rPr>
          <w:sz w:val="32"/>
          <w:szCs w:val="20"/>
          <w:lang w:val="en-US" w:eastAsia="zh-CN" w:bidi="ar-SA"/>
        </w:rPr>
        <w:t>项目总体完成率100%，超出年度总体目标。</w:t>
      </w:r>
    </w:p>
    <w:p w14:paraId="0DFB75B6">
      <w:pPr>
        <w:keepNext w:val="0"/>
        <w:keepLines w:val="0"/>
        <w:pageBreakBefore w:val="0"/>
        <w:widowControl w:val="0"/>
        <w:kinsoku/>
        <w:wordWrap/>
        <w:overflowPunct/>
        <w:topLinePunct w:val="0"/>
        <w:autoSpaceDE/>
        <w:autoSpaceDN/>
        <w:spacing w:beforeAutospacing="0" w:afterAutospacing="0" w:line="578" w:lineRule="exact"/>
        <w:ind w:firstLine="640" w:firstLineChars="200"/>
        <w:rPr>
          <w:sz w:val="32"/>
          <w:szCs w:val="20"/>
          <w:lang w:val="en-US" w:eastAsia="zh-CN" w:bidi="ar-SA"/>
        </w:rPr>
      </w:pPr>
      <w:r>
        <w:rPr>
          <w:sz w:val="32"/>
          <w:szCs w:val="20"/>
          <w:lang w:val="en-US" w:eastAsia="zh-CN" w:bidi="ar-SA"/>
        </w:rPr>
        <w:t>1. 年度总体目标1：医疗能力稳步提升，就医体验不断优化，建设省级区域医疗中心1个，新增省级临床重点专科2个、市级临床重点专科30个、县级临床重点专科40个，硕博人才总量突破1100名。</w:t>
      </w:r>
    </w:p>
    <w:p w14:paraId="35CCA094">
      <w:pPr>
        <w:keepNext w:val="0"/>
        <w:keepLines w:val="0"/>
        <w:pageBreakBefore w:val="0"/>
        <w:widowControl w:val="0"/>
        <w:kinsoku/>
        <w:wordWrap/>
        <w:overflowPunct/>
        <w:topLinePunct w:val="0"/>
        <w:autoSpaceDE/>
        <w:autoSpaceDN/>
        <w:spacing w:beforeAutospacing="0" w:afterAutospacing="0" w:line="578" w:lineRule="exact"/>
        <w:ind w:firstLine="640" w:firstLineChars="200"/>
        <w:rPr>
          <w:sz w:val="32"/>
          <w:szCs w:val="20"/>
          <w:lang w:val="en-US" w:eastAsia="zh-CN" w:bidi="ar-SA"/>
        </w:rPr>
      </w:pPr>
      <w:r>
        <w:rPr>
          <w:sz w:val="32"/>
          <w:szCs w:val="20"/>
          <w:lang w:val="en-US" w:eastAsia="zh-CN" w:bidi="ar-SA"/>
        </w:rPr>
        <w:t>完成情况：超额完成。医疗能力稳步提升，就医体验不断优化，新增省级区域医疗中心2个、省级临床重点专科2个、市级临床重点专科54个、县级临床重点专科79个，硕博人才总量达到1238名。</w:t>
      </w:r>
    </w:p>
    <w:p w14:paraId="336C3279">
      <w:pPr>
        <w:keepNext w:val="0"/>
        <w:keepLines w:val="0"/>
        <w:pageBreakBefore w:val="0"/>
        <w:widowControl w:val="0"/>
        <w:kinsoku/>
        <w:wordWrap/>
        <w:overflowPunct/>
        <w:topLinePunct w:val="0"/>
        <w:autoSpaceDE/>
        <w:autoSpaceDN/>
        <w:spacing w:beforeAutospacing="0" w:afterAutospacing="0" w:line="578" w:lineRule="exact"/>
        <w:ind w:firstLine="640" w:firstLineChars="200"/>
        <w:rPr>
          <w:sz w:val="32"/>
          <w:szCs w:val="20"/>
          <w:lang w:val="en-US" w:eastAsia="zh-CN" w:bidi="ar-SA"/>
        </w:rPr>
      </w:pPr>
      <w:r>
        <w:rPr>
          <w:sz w:val="32"/>
          <w:szCs w:val="20"/>
          <w:lang w:val="en-US" w:eastAsia="zh-CN" w:bidi="ar-SA"/>
        </w:rPr>
        <w:t>2. 年度总体目标2：打造卫生健康大数据中心，建设卫生健康专网和互联网医院达州分院信息管理平台，建成健康达州智慧服务平台，28家二级及以上公立医院检查检验结果实现互认，升级改造医院HRP运营系统。</w:t>
      </w:r>
    </w:p>
    <w:p w14:paraId="7B283C9C">
      <w:pPr>
        <w:keepNext w:val="0"/>
        <w:keepLines w:val="0"/>
        <w:pageBreakBefore w:val="0"/>
        <w:widowControl w:val="0"/>
        <w:kinsoku/>
        <w:wordWrap/>
        <w:overflowPunct/>
        <w:topLinePunct w:val="0"/>
        <w:autoSpaceDE/>
        <w:autoSpaceDN/>
        <w:spacing w:beforeAutospacing="0" w:afterAutospacing="0" w:line="578" w:lineRule="exact"/>
        <w:ind w:left="0" w:firstLine="640" w:firstLineChars="200"/>
        <w:rPr>
          <w:sz w:val="32"/>
          <w:szCs w:val="20"/>
          <w:lang w:val="en-US" w:eastAsia="zh-CN" w:bidi="ar-SA"/>
        </w:rPr>
      </w:pPr>
      <w:r>
        <w:rPr>
          <w:sz w:val="32"/>
          <w:szCs w:val="20"/>
          <w:lang w:val="en-US" w:eastAsia="zh-CN" w:bidi="ar-SA"/>
        </w:rPr>
        <w:t>完成情况：全部完成。升级改造医院HRP运营系统，市中心医院已完成。</w:t>
      </w:r>
    </w:p>
    <w:p w14:paraId="32D27AD7">
      <w:pPr>
        <w:keepNext w:val="0"/>
        <w:keepLines w:val="0"/>
        <w:pageBreakBefore w:val="0"/>
        <w:widowControl w:val="0"/>
        <w:kinsoku/>
        <w:wordWrap/>
        <w:overflowPunct/>
        <w:topLinePunct w:val="0"/>
        <w:autoSpaceDE/>
        <w:autoSpaceDN/>
        <w:spacing w:beforeAutospacing="0" w:afterAutospacing="0" w:line="578" w:lineRule="exact"/>
        <w:ind w:firstLine="640" w:firstLineChars="200"/>
        <w:rPr>
          <w:rFonts w:eastAsia="楷体_GB2312"/>
          <w:snapToGrid/>
          <w:lang w:val="en-US" w:eastAsia="zh-CN" w:bidi="ar-SA"/>
        </w:rPr>
      </w:pPr>
      <w:r>
        <w:rPr>
          <w:sz w:val="32"/>
          <w:szCs w:val="20"/>
          <w:lang w:val="en-US" w:eastAsia="zh-CN" w:bidi="ar-SA"/>
        </w:rPr>
        <w:t>3. 年度总体目标3：优化DRG支付标准、考核方案等改革配套措施，建立医疗服务价格形成机制，启动首轮调价。</w:t>
      </w:r>
    </w:p>
    <w:p w14:paraId="160A2157">
      <w:pPr>
        <w:keepNext w:val="0"/>
        <w:keepLines w:val="0"/>
        <w:pageBreakBefore w:val="0"/>
        <w:widowControl w:val="0"/>
        <w:kinsoku/>
        <w:wordWrap/>
        <w:overflowPunct/>
        <w:topLinePunct w:val="0"/>
        <w:autoSpaceDE/>
        <w:autoSpaceDN/>
        <w:spacing w:beforeAutospacing="0" w:afterAutospacing="0" w:line="578" w:lineRule="exact"/>
        <w:ind w:left="0" w:firstLine="640"/>
        <w:rPr>
          <w:sz w:val="32"/>
          <w:szCs w:val="20"/>
        </w:rPr>
      </w:pPr>
      <w:r>
        <w:rPr>
          <w:sz w:val="32"/>
          <w:szCs w:val="20"/>
          <w:lang w:val="en-US" w:eastAsia="zh-CN" w:bidi="ar-SA"/>
        </w:rPr>
        <w:t>完成情况：全部完成。出台了《达州市基本医疗保险按疾病诊断相关分组（DRG）结合点数法付费实施细则》《关于开展中医优势病种按疗效价值实行DRG点数付费试点工作的通知》，全市所有公立医院均建立了医疗服务价格动态调整机制，向省医保局申报调价99项。</w:t>
      </w:r>
    </w:p>
    <w:p w14:paraId="1F79ACB8">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outlineLvl w:val="0"/>
        <w:rPr>
          <w:rFonts w:eastAsia="楷体_GB2312"/>
          <w:szCs w:val="32"/>
        </w:rPr>
      </w:pPr>
      <w:r>
        <w:rPr>
          <w:rFonts w:eastAsia="楷体_GB2312"/>
          <w:bCs/>
          <w:szCs w:val="32"/>
        </w:rPr>
        <w:t>（</w:t>
      </w:r>
      <w:r>
        <w:rPr>
          <w:rFonts w:eastAsia="楷体_GB2312"/>
          <w:bCs/>
          <w:szCs w:val="32"/>
          <w:lang w:eastAsia="zh-CN"/>
        </w:rPr>
        <w:t>四</w:t>
      </w:r>
      <w:r>
        <w:rPr>
          <w:rFonts w:eastAsia="楷体_GB2312"/>
          <w:bCs/>
          <w:szCs w:val="32"/>
        </w:rPr>
        <w:t>）绩效指标完成情况分析</w:t>
      </w:r>
    </w:p>
    <w:p w14:paraId="35D9CA86">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rFonts w:eastAsia="仿宋_GB2312"/>
          <w:sz w:val="32"/>
          <w:szCs w:val="20"/>
          <w:lang w:val="en-US" w:eastAsia="zh-CN" w:bidi="ar-SA"/>
        </w:rPr>
      </w:pPr>
      <w:r>
        <w:rPr>
          <w:rFonts w:eastAsia="仿宋_GB2312"/>
          <w:bCs/>
          <w:snapToGrid w:val="0"/>
          <w:kern w:val="0"/>
          <w:sz w:val="32"/>
          <w:szCs w:val="32"/>
          <w:lang w:val="en-US" w:eastAsia="zh-CN" w:bidi="ar-SA"/>
        </w:rPr>
        <w:t>项目</w:t>
      </w:r>
      <w:r>
        <w:rPr>
          <w:rFonts w:eastAsia="仿宋_GB2312"/>
          <w:sz w:val="32"/>
          <w:szCs w:val="20"/>
          <w:lang w:val="en-US" w:eastAsia="zh-CN" w:bidi="ar-SA"/>
        </w:rPr>
        <w:t>绩效指标</w:t>
      </w:r>
      <w:r>
        <w:rPr>
          <w:rFonts w:eastAsia="仿宋_GB2312"/>
          <w:bCs/>
          <w:snapToGrid w:val="0"/>
          <w:kern w:val="0"/>
          <w:sz w:val="32"/>
          <w:szCs w:val="32"/>
          <w:lang w:val="en-US" w:eastAsia="zh-CN" w:bidi="ar-SA"/>
        </w:rPr>
        <w:t>共</w:t>
      </w:r>
      <w:r>
        <w:rPr>
          <w:rFonts w:eastAsia="仿宋_GB2312"/>
          <w:sz w:val="32"/>
          <w:szCs w:val="20"/>
          <w:lang w:val="en-US" w:eastAsia="zh-CN" w:bidi="ar-SA"/>
        </w:rPr>
        <w:t>21个，已出结果的19个指标中，16个指标已完成目标值，目标任务完成率为84.21%。</w:t>
      </w:r>
    </w:p>
    <w:p w14:paraId="5029E4DF">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rFonts w:eastAsia="仿宋_GB2312"/>
          <w:snapToGrid w:val="0"/>
          <w:kern w:val="0"/>
          <w:sz w:val="32"/>
          <w:szCs w:val="32"/>
          <w:shd w:val="clear" w:color="auto" w:fill="FFFFFF"/>
          <w:lang w:val="en-US" w:eastAsia="zh-CN"/>
        </w:rPr>
      </w:pPr>
      <w:r>
        <w:rPr>
          <w:rFonts w:eastAsia="仿宋_GB2312"/>
          <w:snapToGrid w:val="0"/>
          <w:kern w:val="0"/>
          <w:sz w:val="32"/>
          <w:szCs w:val="32"/>
          <w:shd w:val="clear" w:color="auto" w:fill="FFFFFF"/>
          <w:lang w:val="en-US" w:eastAsia="zh-CN"/>
        </w:rPr>
        <w:t>1.产出指标共17项，已出结果的指标17项，其中完成15项，正加快推进2项。完成指标主要</w:t>
      </w:r>
      <w:r>
        <w:rPr>
          <w:snapToGrid w:val="0"/>
          <w:kern w:val="0"/>
          <w:sz w:val="32"/>
          <w:szCs w:val="32"/>
          <w:shd w:val="clear" w:color="auto" w:fill="FFFFFF"/>
          <w:lang w:val="en-US" w:eastAsia="zh-CN"/>
        </w:rPr>
        <w:t>是</w:t>
      </w:r>
      <w:r>
        <w:rPr>
          <w:rFonts w:eastAsia="仿宋_GB2312"/>
          <w:snapToGrid w:val="0"/>
          <w:kern w:val="0"/>
          <w:sz w:val="32"/>
          <w:szCs w:val="32"/>
          <w:shd w:val="clear" w:color="auto" w:fill="FFFFFF"/>
          <w:lang w:val="en-US" w:eastAsia="zh-CN"/>
        </w:rPr>
        <w:t>：（1）公立医院门诊和住院次均费用增幅，分别为-5.5%、-4.47%</w:t>
      </w:r>
      <w:r>
        <w:rPr>
          <w:snapToGrid w:val="0"/>
          <w:kern w:val="0"/>
          <w:sz w:val="32"/>
          <w:szCs w:val="32"/>
          <w:shd w:val="clear" w:color="auto" w:fill="FFFFFF"/>
          <w:lang w:val="en-US" w:eastAsia="zh-CN"/>
        </w:rPr>
        <w:t>（目标值控制在3%以内）</w:t>
      </w:r>
      <w:r>
        <w:rPr>
          <w:rFonts w:eastAsia="仿宋_GB2312"/>
          <w:snapToGrid w:val="0"/>
          <w:kern w:val="0"/>
          <w:sz w:val="32"/>
          <w:szCs w:val="32"/>
          <w:shd w:val="clear" w:color="auto" w:fill="FFFFFF"/>
          <w:lang w:val="en-US" w:eastAsia="zh-CN"/>
        </w:rPr>
        <w:t>；（2）管理费用占公立医院费用总额的比重，为10.17%</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11%）</w:t>
      </w:r>
      <w:r>
        <w:rPr>
          <w:rFonts w:eastAsia="仿宋_GB2312"/>
          <w:snapToGrid w:val="0"/>
          <w:kern w:val="0"/>
          <w:sz w:val="32"/>
          <w:szCs w:val="32"/>
          <w:shd w:val="clear" w:color="auto" w:fill="FFFFFF"/>
          <w:lang w:val="en-US" w:eastAsia="zh-CN"/>
        </w:rPr>
        <w:t>；（3）无基本建设和设备购置非流动负债的公立医院占比，为66.67%</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55%）</w:t>
      </w:r>
      <w:r>
        <w:rPr>
          <w:rFonts w:eastAsia="仿宋_GB2312"/>
          <w:snapToGrid w:val="0"/>
          <w:kern w:val="0"/>
          <w:sz w:val="32"/>
          <w:szCs w:val="32"/>
          <w:shd w:val="clear" w:color="auto" w:fill="FFFFFF"/>
          <w:lang w:val="en-US" w:eastAsia="zh-CN"/>
        </w:rPr>
        <w:t>；（4）实现收支平衡的公立医院占比，为88.89%</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84%）</w:t>
      </w:r>
      <w:r>
        <w:rPr>
          <w:rFonts w:eastAsia="仿宋_GB2312"/>
          <w:snapToGrid w:val="0"/>
          <w:kern w:val="0"/>
          <w:sz w:val="32"/>
          <w:szCs w:val="32"/>
          <w:shd w:val="clear" w:color="auto" w:fill="FFFFFF"/>
          <w:lang w:val="en-US" w:eastAsia="zh-CN"/>
        </w:rPr>
        <w:t>；（5）按病种付费的住院参保人员数占公立医院总住院参保人员数的比例，为97.45%</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97%）</w:t>
      </w:r>
      <w:r>
        <w:rPr>
          <w:rFonts w:eastAsia="仿宋_GB2312"/>
          <w:snapToGrid w:val="0"/>
          <w:kern w:val="0"/>
          <w:sz w:val="32"/>
          <w:szCs w:val="32"/>
          <w:shd w:val="clear" w:color="auto" w:fill="FFFFFF"/>
          <w:lang w:val="en-US" w:eastAsia="zh-CN"/>
        </w:rPr>
        <w:t>；（6）建立医疗服务价格动态调整机制的公立医院比例，</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100%；（7）合理确定并动态调整薪酬的公立医院比例，</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100%</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88%）</w:t>
      </w:r>
      <w:r>
        <w:rPr>
          <w:rFonts w:eastAsia="仿宋_GB2312"/>
          <w:snapToGrid w:val="0"/>
          <w:kern w:val="0"/>
          <w:sz w:val="32"/>
          <w:szCs w:val="32"/>
          <w:shd w:val="clear" w:color="auto" w:fill="FFFFFF"/>
          <w:lang w:val="en-US" w:eastAsia="zh-CN"/>
        </w:rPr>
        <w:t>；（8）市县两级由一位政府负责同志统一分管医疗、医保、医药工作的比例，</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100%；（9）实行党委领导下的院长负责制的公立医院比例，</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100%；（10）三级公立医院设置总会计师的比例，</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87.5%</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77.7%）</w:t>
      </w:r>
      <w:r>
        <w:rPr>
          <w:rFonts w:eastAsia="仿宋_GB2312"/>
          <w:snapToGrid w:val="0"/>
          <w:kern w:val="0"/>
          <w:sz w:val="32"/>
          <w:szCs w:val="32"/>
          <w:shd w:val="clear" w:color="auto" w:fill="FFFFFF"/>
          <w:lang w:val="en-US" w:eastAsia="zh-CN"/>
        </w:rPr>
        <w:t>；（11）三级公立医院出院患者四级手术比例，为15.33%</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15%）</w:t>
      </w:r>
      <w:r>
        <w:rPr>
          <w:rFonts w:eastAsia="仿宋_GB2312"/>
          <w:snapToGrid w:val="0"/>
          <w:kern w:val="0"/>
          <w:sz w:val="32"/>
          <w:szCs w:val="32"/>
          <w:shd w:val="clear" w:color="auto" w:fill="FFFFFF"/>
          <w:lang w:val="en-US" w:eastAsia="zh-CN"/>
        </w:rPr>
        <w:t>；（12）参与同级检查结果互认的公立医院占比</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100%；（13）三级公立医院平均住院日，为8.11天</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8.4天）</w:t>
      </w:r>
      <w:r>
        <w:rPr>
          <w:rFonts w:eastAsia="仿宋_GB2312"/>
          <w:snapToGrid w:val="0"/>
          <w:kern w:val="0"/>
          <w:sz w:val="32"/>
          <w:szCs w:val="32"/>
          <w:shd w:val="clear" w:color="auto" w:fill="FFFFFF"/>
          <w:lang w:val="en-US" w:eastAsia="zh-CN"/>
        </w:rPr>
        <w:t>；（14）医疗服务收入占比，为35.29%</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35%）</w:t>
      </w:r>
      <w:r>
        <w:rPr>
          <w:rFonts w:eastAsia="仿宋_GB2312"/>
          <w:snapToGrid w:val="0"/>
          <w:kern w:val="0"/>
          <w:sz w:val="32"/>
          <w:szCs w:val="32"/>
          <w:shd w:val="clear" w:color="auto" w:fill="FFFFFF"/>
          <w:lang w:val="en-US" w:eastAsia="zh-CN"/>
        </w:rPr>
        <w:t>；（15）公立医院人员薪酬中稳定收入的比例，为52.12%</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50%）</w:t>
      </w:r>
      <w:r>
        <w:rPr>
          <w:rFonts w:eastAsia="仿宋_GB2312"/>
          <w:snapToGrid w:val="0"/>
          <w:kern w:val="0"/>
          <w:sz w:val="32"/>
          <w:szCs w:val="32"/>
          <w:shd w:val="clear" w:color="auto" w:fill="FFFFFF"/>
          <w:lang w:val="en-US" w:eastAsia="zh-CN"/>
        </w:rPr>
        <w:t>。正加快推进指标</w:t>
      </w:r>
      <w:r>
        <w:rPr>
          <w:snapToGrid w:val="0"/>
          <w:kern w:val="0"/>
          <w:sz w:val="32"/>
          <w:szCs w:val="32"/>
          <w:shd w:val="clear" w:color="auto" w:fill="FFFFFF"/>
          <w:lang w:val="en-US" w:eastAsia="zh-CN"/>
        </w:rPr>
        <w:t>是：（1）</w:t>
      </w:r>
      <w:r>
        <w:rPr>
          <w:rFonts w:eastAsia="仿宋_GB2312"/>
          <w:snapToGrid w:val="0"/>
          <w:kern w:val="0"/>
          <w:sz w:val="32"/>
          <w:szCs w:val="32"/>
          <w:shd w:val="clear" w:color="auto" w:fill="FFFFFF"/>
          <w:lang w:val="en-US" w:eastAsia="zh-CN"/>
        </w:rPr>
        <w:t>三级公立医院门诊人次数与出院人次数比，为12.73</w:t>
      </w:r>
      <w:r>
        <w:rPr>
          <w:snapToGrid w:val="0"/>
          <w:kern w:val="0"/>
          <w:sz w:val="32"/>
          <w:szCs w:val="32"/>
          <w:shd w:val="clear" w:color="auto" w:fill="FFFFFF"/>
          <w:lang w:val="en-US" w:eastAsia="zh-CN"/>
        </w:rPr>
        <w:t>，相距目标值0.73个百分点</w:t>
      </w:r>
      <w:r>
        <w:rPr>
          <w:rFonts w:eastAsia="仿宋_GB2312"/>
          <w:snapToGrid w:val="0"/>
          <w:kern w:val="0"/>
          <w:sz w:val="32"/>
          <w:szCs w:val="32"/>
          <w:shd w:val="clear" w:color="auto" w:fill="FFFFFF"/>
          <w:lang w:val="en-US" w:eastAsia="zh-CN"/>
        </w:rPr>
        <w:t>。（2）三级公立医院病例组合指数（CMI值），为0.89</w:t>
      </w:r>
      <w:r>
        <w:rPr>
          <w:snapToGrid w:val="0"/>
          <w:kern w:val="0"/>
          <w:sz w:val="32"/>
          <w:szCs w:val="32"/>
          <w:shd w:val="clear" w:color="auto" w:fill="FFFFFF"/>
          <w:lang w:val="en-US" w:eastAsia="zh-CN"/>
        </w:rPr>
        <w:t>，相距目标值0.01个百分点</w:t>
      </w:r>
      <w:r>
        <w:rPr>
          <w:rFonts w:eastAsia="仿宋_GB2312"/>
          <w:snapToGrid w:val="0"/>
          <w:kern w:val="0"/>
          <w:sz w:val="32"/>
          <w:szCs w:val="32"/>
          <w:shd w:val="clear" w:color="auto" w:fill="FFFFFF"/>
          <w:lang w:val="en-US" w:eastAsia="zh-CN"/>
        </w:rPr>
        <w:t>。</w:t>
      </w:r>
    </w:p>
    <w:p w14:paraId="7C543498">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snapToGrid w:val="0"/>
          <w:kern w:val="0"/>
          <w:sz w:val="32"/>
          <w:szCs w:val="32"/>
          <w:shd w:val="clear" w:color="auto" w:fill="FFFFFF"/>
        </w:rPr>
      </w:pPr>
      <w:r>
        <w:rPr>
          <w:rFonts w:eastAsia="仿宋_GB2312"/>
          <w:snapToGrid w:val="0"/>
          <w:kern w:val="0"/>
          <w:sz w:val="32"/>
          <w:szCs w:val="32"/>
          <w:shd w:val="clear" w:color="auto" w:fill="FFFFFF"/>
          <w:lang w:val="en-US" w:eastAsia="zh-CN"/>
        </w:rPr>
        <w:t>2.社会效益指标共2项。完成指标</w:t>
      </w:r>
      <w:r>
        <w:rPr>
          <w:snapToGrid w:val="0"/>
          <w:kern w:val="0"/>
          <w:sz w:val="32"/>
          <w:szCs w:val="32"/>
          <w:shd w:val="clear" w:color="auto" w:fill="FFFFFF"/>
          <w:lang w:val="en-US" w:eastAsia="zh-CN"/>
        </w:rPr>
        <w:t>是</w:t>
      </w:r>
      <w:r>
        <w:rPr>
          <w:rFonts w:eastAsia="仿宋_GB2312"/>
          <w:snapToGrid w:val="0"/>
          <w:kern w:val="0"/>
          <w:sz w:val="32"/>
          <w:szCs w:val="32"/>
          <w:shd w:val="clear" w:color="auto" w:fill="FFFFFF"/>
          <w:lang w:val="en-US" w:eastAsia="zh-CN"/>
        </w:rPr>
        <w:t>：县域内住院量占比</w:t>
      </w:r>
      <w:r>
        <w:rPr>
          <w:snapToGrid w:val="0"/>
          <w:kern w:val="0"/>
          <w:sz w:val="32"/>
          <w:szCs w:val="32"/>
          <w:shd w:val="clear" w:color="auto" w:fill="FFFFFF"/>
          <w:lang w:val="en-US" w:eastAsia="zh-CN"/>
        </w:rPr>
        <w:t>，</w:t>
      </w:r>
      <w:r>
        <w:rPr>
          <w:rFonts w:eastAsia="仿宋_GB2312"/>
          <w:snapToGrid w:val="0"/>
          <w:kern w:val="0"/>
          <w:sz w:val="32"/>
          <w:szCs w:val="32"/>
          <w:shd w:val="clear" w:color="auto" w:fill="FFFFFF"/>
          <w:lang w:val="en-US" w:eastAsia="zh-CN"/>
        </w:rPr>
        <w:t>为92.67%</w:t>
      </w:r>
      <w:r>
        <w:rPr>
          <w:snapToGrid w:val="0"/>
          <w:kern w:val="0"/>
          <w:sz w:val="32"/>
          <w:szCs w:val="32"/>
          <w:shd w:val="clear" w:color="auto" w:fill="FFFFFF"/>
          <w:lang w:val="en-US" w:eastAsia="zh-CN"/>
        </w:rPr>
        <w:t>（目标值</w:t>
      </w:r>
      <w:r>
        <w:rPr>
          <w:rFonts w:hint="eastAsia" w:ascii="宋体" w:eastAsia="宋体"/>
          <w:snapToGrid w:val="0"/>
          <w:kern w:val="0"/>
          <w:sz w:val="32"/>
          <w:szCs w:val="32"/>
          <w:shd w:val="clear" w:color="auto" w:fill="FFFFFF"/>
          <w:lang w:val="en-US" w:eastAsia="zh-CN" w:bidi="ar-SA"/>
        </w:rPr>
        <w:t>≧</w:t>
      </w:r>
      <w:r>
        <w:rPr>
          <w:snapToGrid w:val="0"/>
          <w:kern w:val="0"/>
          <w:sz w:val="32"/>
          <w:szCs w:val="32"/>
          <w:shd w:val="clear" w:color="auto" w:fill="FFFFFF"/>
          <w:lang w:val="en-US" w:eastAsia="zh-CN"/>
        </w:rPr>
        <w:t>88%）</w:t>
      </w:r>
      <w:r>
        <w:rPr>
          <w:rFonts w:eastAsia="仿宋_GB2312"/>
          <w:snapToGrid w:val="0"/>
          <w:kern w:val="0"/>
          <w:sz w:val="32"/>
          <w:szCs w:val="32"/>
          <w:shd w:val="clear" w:color="auto" w:fill="FFFFFF"/>
          <w:lang w:val="en-US" w:eastAsia="zh-CN"/>
        </w:rPr>
        <w:t>。正加快推进指标</w:t>
      </w:r>
      <w:r>
        <w:rPr>
          <w:snapToGrid w:val="0"/>
          <w:kern w:val="0"/>
          <w:sz w:val="32"/>
          <w:szCs w:val="32"/>
          <w:shd w:val="clear" w:color="auto" w:fill="FFFFFF"/>
          <w:lang w:val="en-US" w:eastAsia="zh-CN"/>
        </w:rPr>
        <w:t>是</w:t>
      </w:r>
      <w:r>
        <w:rPr>
          <w:rFonts w:eastAsia="仿宋_GB2312"/>
          <w:snapToGrid w:val="0"/>
          <w:kern w:val="0"/>
          <w:sz w:val="32"/>
          <w:szCs w:val="32"/>
          <w:shd w:val="clear" w:color="auto" w:fill="FFFFFF"/>
          <w:lang w:val="en-US" w:eastAsia="zh-CN"/>
        </w:rPr>
        <w:t>：基层医疗卫生机构诊疗量占总诊疗量的比例</w:t>
      </w:r>
      <w:r>
        <w:rPr>
          <w:snapToGrid w:val="0"/>
          <w:kern w:val="0"/>
          <w:sz w:val="32"/>
          <w:szCs w:val="32"/>
          <w:shd w:val="clear" w:color="auto" w:fill="FFFFFF"/>
          <w:lang w:val="en-US" w:eastAsia="zh-CN"/>
        </w:rPr>
        <w:t>，为</w:t>
      </w:r>
      <w:r>
        <w:rPr>
          <w:rFonts w:eastAsia="仿宋_GB2312"/>
          <w:snapToGrid w:val="0"/>
          <w:kern w:val="0"/>
          <w:sz w:val="32"/>
          <w:szCs w:val="32"/>
          <w:shd w:val="clear" w:color="auto" w:fill="FFFFFF"/>
          <w:lang w:val="en-US" w:eastAsia="zh-CN"/>
        </w:rPr>
        <w:t>58.58%，</w:t>
      </w:r>
      <w:r>
        <w:rPr>
          <w:snapToGrid w:val="0"/>
          <w:kern w:val="0"/>
          <w:sz w:val="32"/>
          <w:szCs w:val="32"/>
          <w:shd w:val="clear" w:color="auto" w:fill="FFFFFF"/>
        </w:rPr>
        <w:t>相距目标值</w:t>
      </w:r>
      <w:r>
        <w:rPr>
          <w:snapToGrid w:val="0"/>
          <w:kern w:val="0"/>
          <w:sz w:val="32"/>
          <w:szCs w:val="32"/>
          <w:shd w:val="clear" w:color="auto" w:fill="FFFFFF"/>
          <w:lang w:bidi="ar-SA"/>
        </w:rPr>
        <w:t>0.42个百分点</w:t>
      </w:r>
      <w:r>
        <w:rPr>
          <w:snapToGrid w:val="0"/>
          <w:kern w:val="0"/>
          <w:sz w:val="32"/>
          <w:szCs w:val="32"/>
          <w:shd w:val="clear" w:color="auto" w:fill="FFFFFF"/>
        </w:rPr>
        <w:t>。</w:t>
      </w:r>
    </w:p>
    <w:p w14:paraId="159D0A95">
      <w:pPr>
        <w:keepNext w:val="0"/>
        <w:keepLines w:val="0"/>
        <w:pageBreakBefore w:val="0"/>
        <w:widowControl w:val="0"/>
        <w:suppressAutoHyphens/>
        <w:kinsoku/>
        <w:wordWrap/>
        <w:overflowPunct/>
        <w:topLinePunct w:val="0"/>
        <w:autoSpaceDE/>
        <w:autoSpaceDN/>
        <w:spacing w:line="578" w:lineRule="exact"/>
        <w:ind w:firstLine="640" w:firstLineChars="200"/>
        <w:rPr>
          <w:szCs w:val="32"/>
        </w:rPr>
      </w:pPr>
      <w:r>
        <w:rPr>
          <w:rFonts w:eastAsia="仿宋_GB2312"/>
          <w:snapToGrid w:val="0"/>
          <w:kern w:val="0"/>
          <w:sz w:val="32"/>
          <w:szCs w:val="32"/>
          <w:shd w:val="clear" w:color="auto" w:fill="FFFFFF"/>
          <w:lang w:val="en-US" w:eastAsia="zh-CN"/>
        </w:rPr>
        <w:t>3.满意度指标共2项，</w:t>
      </w:r>
      <w:r>
        <w:rPr>
          <w:snapToGrid w:val="0"/>
          <w:kern w:val="0"/>
          <w:sz w:val="32"/>
          <w:szCs w:val="32"/>
          <w:shd w:val="clear" w:color="auto" w:fill="FFFFFF"/>
          <w:lang w:val="en-US" w:eastAsia="zh-CN"/>
        </w:rPr>
        <w:t>分别是公立医院门诊和住院患者满意度、公立医院医务人员满意度。待</w:t>
      </w:r>
      <w:r>
        <w:rPr>
          <w:rFonts w:eastAsia="仿宋_GB2312"/>
          <w:snapToGrid w:val="0"/>
          <w:kern w:val="0"/>
          <w:sz w:val="32"/>
          <w:szCs w:val="32"/>
          <w:shd w:val="clear" w:color="auto" w:fill="FFFFFF"/>
          <w:lang w:val="en-US" w:eastAsia="zh-CN"/>
        </w:rPr>
        <w:t>2024年度全年数据公布后再行评估。</w:t>
      </w:r>
    </w:p>
    <w:p w14:paraId="44DF5713">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rPr>
          <w:szCs w:val="32"/>
        </w:rPr>
      </w:pPr>
      <w:r>
        <w:rPr>
          <w:rFonts w:eastAsia="黑体"/>
          <w:bCs/>
          <w:szCs w:val="32"/>
        </w:rPr>
        <w:t>三、下一步改进措施</w:t>
      </w:r>
    </w:p>
    <w:p w14:paraId="1BBA6F26">
      <w:pPr>
        <w:keepNext w:val="0"/>
        <w:keepLines w:val="0"/>
        <w:pageBreakBefore w:val="0"/>
        <w:widowControl w:val="0"/>
        <w:kinsoku/>
        <w:wordWrap/>
        <w:overflowPunct/>
        <w:topLinePunct w:val="0"/>
        <w:spacing w:beforeAutospacing="0" w:afterAutospacing="0" w:line="578" w:lineRule="exact"/>
        <w:ind w:firstLine="640" w:firstLineChars="200"/>
        <w:rPr>
          <w:rFonts w:eastAsia="仿宋_GB2312"/>
          <w:sz w:val="32"/>
          <w:szCs w:val="32"/>
          <w:lang w:val="en-US" w:eastAsia="zh-CN"/>
        </w:rPr>
      </w:pPr>
      <w:r>
        <w:rPr>
          <w:rFonts w:eastAsia="仿宋_GB2312"/>
          <w:sz w:val="32"/>
          <w:szCs w:val="32"/>
          <w:lang w:val="en-US" w:eastAsia="zh-CN"/>
        </w:rPr>
        <w:t>2024年度中央资金1亿元于2024年11月下达我市，实施方案系按照一个年度安排计划，因不能提前实施以致中央资金</w:t>
      </w:r>
      <w:r>
        <w:rPr>
          <w:sz w:val="32"/>
          <w:szCs w:val="32"/>
          <w:lang w:val="en-US" w:eastAsia="zh-CN"/>
        </w:rPr>
        <w:t>未能100%执行到位</w:t>
      </w:r>
      <w:r>
        <w:rPr>
          <w:rFonts w:eastAsia="仿宋_GB2312"/>
          <w:sz w:val="32"/>
          <w:szCs w:val="32"/>
          <w:lang w:val="en-US" w:eastAsia="zh-CN"/>
        </w:rPr>
        <w:t>。</w:t>
      </w:r>
    </w:p>
    <w:p w14:paraId="41155849">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40" w:firstLineChars="200"/>
        <w:textAlignment w:val="auto"/>
        <w:rPr>
          <w:bCs/>
          <w:sz w:val="32"/>
          <w:szCs w:val="32"/>
        </w:rPr>
      </w:pPr>
      <w:r>
        <w:rPr>
          <w:bCs/>
          <w:sz w:val="32"/>
          <w:szCs w:val="32"/>
        </w:rPr>
        <w:t>正加快推进的绩效指标：</w:t>
      </w:r>
    </w:p>
    <w:p w14:paraId="4D82A60B">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rFonts w:eastAsia="楷体_GB2312"/>
          <w:snapToGrid w:val="0"/>
          <w:kern w:val="0"/>
          <w:sz w:val="32"/>
          <w:szCs w:val="32"/>
          <w:shd w:val="clear" w:color="auto" w:fill="FFFFFF"/>
        </w:rPr>
      </w:pPr>
      <w:r>
        <w:rPr>
          <w:rFonts w:eastAsia="楷体_GB2312"/>
          <w:snapToGrid w:val="0"/>
          <w:kern w:val="0"/>
          <w:sz w:val="32"/>
          <w:szCs w:val="32"/>
          <w:shd w:val="clear" w:color="auto" w:fill="FFFFFF"/>
        </w:rPr>
        <w:t>（一）三级公立医院病例组合指数（CMI值），为0.89（目标值</w:t>
      </w:r>
      <w:r>
        <w:rPr>
          <w:rFonts w:eastAsia="楷体_GB2312"/>
          <w:snapToGrid w:val="0"/>
          <w:kern w:val="0"/>
          <w:sz w:val="32"/>
          <w:szCs w:val="32"/>
          <w:shd w:val="clear" w:color="auto" w:fill="FFFFFF"/>
          <w:lang w:bidi="ar-SA"/>
        </w:rPr>
        <w:t>≧</w:t>
      </w:r>
      <w:r>
        <w:rPr>
          <w:rFonts w:eastAsia="楷体_GB2312"/>
          <w:snapToGrid w:val="0"/>
          <w:kern w:val="0"/>
          <w:sz w:val="32"/>
          <w:szCs w:val="32"/>
          <w:shd w:val="clear" w:color="auto" w:fill="FFFFFF"/>
        </w:rPr>
        <w:t>0.9）</w:t>
      </w:r>
    </w:p>
    <w:p w14:paraId="3BCBF10F">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snapToGrid w:val="0"/>
          <w:kern w:val="0"/>
          <w:sz w:val="32"/>
          <w:szCs w:val="32"/>
          <w:shd w:val="clear" w:color="auto" w:fill="FFFFFF"/>
          <w:lang w:val="en-US" w:eastAsia="zh-CN"/>
        </w:rPr>
      </w:pPr>
      <w:r>
        <w:rPr>
          <w:snapToGrid w:val="0"/>
          <w:kern w:val="0"/>
          <w:sz w:val="32"/>
          <w:szCs w:val="32"/>
          <w:shd w:val="clear" w:color="auto" w:fill="FFFFFF"/>
          <w:lang w:val="en-US" w:eastAsia="zh-CN"/>
        </w:rPr>
        <w:t>原因分析：1.辖区三级公立医院医疗技术水平和疑难重症救治能力有限，收治病例复杂程度、难度系数相对较低。2.部分医院病案首页书写质量不高，存在疾病诊断或手术名称填写不准确等问题，导致病案数据分析不准确，一定程度对CMI值产生了影响。</w:t>
      </w:r>
    </w:p>
    <w:p w14:paraId="3F0B2F12">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rFonts w:eastAsia="楷体_GB2312"/>
          <w:snapToGrid w:val="0"/>
          <w:kern w:val="0"/>
          <w:sz w:val="32"/>
          <w:szCs w:val="32"/>
          <w:shd w:val="clear" w:color="auto" w:fill="FFFFFF"/>
        </w:rPr>
      </w:pPr>
      <w:r>
        <w:rPr>
          <w:snapToGrid w:val="0"/>
          <w:kern w:val="0"/>
          <w:sz w:val="32"/>
          <w:szCs w:val="32"/>
          <w:shd w:val="clear" w:color="auto" w:fill="FFFFFF"/>
          <w:lang w:val="en-US" w:eastAsia="zh-CN"/>
        </w:rPr>
        <w:t>整改措施：1.深化市县龙头医院与省内外高水平医院合作力度，大力开展新技术、新项目。2.加大重点专科建设力度，引导三级公立医院注重高精尖技术的提供和疑难疾病的处理。3.落实分级诊疗制度，引导常见病、多发病在二级及以下医院解决。4.加大病案质控和书写培训，准确</w:t>
      </w:r>
      <w:r>
        <w:rPr>
          <w:rFonts w:hint="eastAsia"/>
          <w:snapToGrid w:val="0"/>
          <w:kern w:val="0"/>
          <w:sz w:val="32"/>
          <w:szCs w:val="32"/>
          <w:shd w:val="clear" w:color="auto" w:fill="FFFFFF"/>
          <w:lang w:val="en-US" w:eastAsia="zh-CN"/>
        </w:rPr>
        <w:t>反映</w:t>
      </w:r>
      <w:r>
        <w:rPr>
          <w:snapToGrid w:val="0"/>
          <w:kern w:val="0"/>
          <w:sz w:val="32"/>
          <w:szCs w:val="32"/>
          <w:shd w:val="clear" w:color="auto" w:fill="FFFFFF"/>
          <w:lang w:val="en-US" w:eastAsia="zh-CN"/>
        </w:rPr>
        <w:t>医院救治病人情况。</w:t>
      </w:r>
    </w:p>
    <w:p w14:paraId="2CEF7D13">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rFonts w:eastAsia="楷体_GB2312"/>
          <w:snapToGrid w:val="0"/>
          <w:kern w:val="0"/>
          <w:sz w:val="32"/>
          <w:szCs w:val="32"/>
          <w:shd w:val="clear" w:color="auto" w:fill="FFFFFF"/>
          <w:lang w:val="en-US" w:eastAsia="zh-CN"/>
        </w:rPr>
      </w:pPr>
      <w:r>
        <w:rPr>
          <w:rFonts w:eastAsia="楷体_GB2312"/>
          <w:bCs/>
          <w:sz w:val="32"/>
          <w:szCs w:val="32"/>
        </w:rPr>
        <w:t>（二）</w:t>
      </w:r>
      <w:r>
        <w:rPr>
          <w:rFonts w:eastAsia="楷体_GB2312"/>
          <w:snapToGrid w:val="0"/>
          <w:kern w:val="0"/>
          <w:sz w:val="32"/>
          <w:szCs w:val="32"/>
          <w:shd w:val="clear" w:color="auto" w:fill="FFFFFF"/>
          <w:lang w:val="en-US" w:eastAsia="zh-CN"/>
        </w:rPr>
        <w:t>三级公立医院门诊人次数与出院人次数比，为12.73（目标值</w:t>
      </w:r>
      <w:r>
        <w:rPr>
          <w:rFonts w:hint="eastAsia" w:ascii="宋体" w:hAnsi="宋体" w:eastAsia="楷体_GB2312"/>
          <w:snapToGrid w:val="0"/>
          <w:kern w:val="0"/>
          <w:sz w:val="32"/>
          <w:szCs w:val="32"/>
          <w:shd w:val="clear" w:color="auto" w:fill="FFFFFF"/>
          <w:lang w:val="en-US" w:eastAsia="zh-CN" w:bidi="ar-SA"/>
        </w:rPr>
        <w:t>≦</w:t>
      </w:r>
      <w:r>
        <w:rPr>
          <w:rFonts w:eastAsia="楷体_GB2312"/>
          <w:snapToGrid w:val="0"/>
          <w:kern w:val="0"/>
          <w:sz w:val="32"/>
          <w:szCs w:val="32"/>
          <w:shd w:val="clear" w:color="auto" w:fill="FFFFFF"/>
          <w:lang w:val="en-US" w:eastAsia="zh-CN"/>
        </w:rPr>
        <w:t>12）</w:t>
      </w:r>
    </w:p>
    <w:p w14:paraId="19D2ECA8">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snapToGrid w:val="0"/>
          <w:kern w:val="0"/>
          <w:sz w:val="32"/>
          <w:szCs w:val="32"/>
          <w:shd w:val="clear" w:color="auto" w:fill="FFFFFF"/>
        </w:rPr>
      </w:pPr>
      <w:r>
        <w:rPr>
          <w:snapToGrid w:val="0"/>
          <w:kern w:val="0"/>
          <w:sz w:val="32"/>
          <w:szCs w:val="32"/>
          <w:shd w:val="clear" w:color="auto" w:fill="FFFFFF"/>
        </w:rPr>
        <w:t>原因分析：1.三级医院功能定位不清晰，仍大量收治一般门诊病人，缺乏合理引导。2.辖区三级医院疑难重症救治能力有限，住院病人异地就医增多。3.群众首选大医院就医习惯尚未扭转，小病也到三级医院门诊就诊。</w:t>
      </w:r>
    </w:p>
    <w:p w14:paraId="73BF094D">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bCs/>
          <w:snapToGrid w:val="0"/>
          <w:kern w:val="0"/>
          <w:sz w:val="32"/>
          <w:szCs w:val="32"/>
          <w:shd w:val="clear" w:color="auto" w:fill="FFFFFF"/>
        </w:rPr>
      </w:pPr>
      <w:r>
        <w:rPr>
          <w:snapToGrid w:val="0"/>
          <w:kern w:val="0"/>
          <w:sz w:val="32"/>
          <w:szCs w:val="32"/>
          <w:shd w:val="clear" w:color="auto" w:fill="FFFFFF"/>
        </w:rPr>
        <w:t>整改措施：1.通过医疗集团、医共体建设落实各级医院功能定位，引导一般疾病患者首选基层首诊。2.强化重点专科能力建设，提升三级医院疑难重症救治能力，把更多住院病人留在本地三级医院救治。3.加大分级诊疗政策宣传力度，发</w:t>
      </w:r>
      <w:r>
        <w:rPr>
          <w:snapToGrid w:val="0"/>
          <w:kern w:val="0"/>
          <w:sz w:val="32"/>
          <w:szCs w:val="32"/>
          <w:shd w:val="clear" w:color="auto" w:fill="FFFFFF"/>
          <w:lang w:val="en-US" w:eastAsia="zh-CN"/>
        </w:rPr>
        <w:t>挥医保激励作用，引导群众合理就医。</w:t>
      </w:r>
    </w:p>
    <w:p w14:paraId="5729C5AE">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rFonts w:eastAsia="楷体_GB2312"/>
          <w:snapToGrid w:val="0"/>
          <w:kern w:val="0"/>
          <w:sz w:val="32"/>
          <w:szCs w:val="32"/>
          <w:shd w:val="clear" w:color="auto" w:fill="FFFFFF"/>
        </w:rPr>
      </w:pPr>
      <w:r>
        <w:rPr>
          <w:rFonts w:eastAsia="楷体_GB2312"/>
          <w:bCs/>
          <w:snapToGrid w:val="0"/>
          <w:kern w:val="0"/>
          <w:sz w:val="32"/>
          <w:szCs w:val="32"/>
          <w:shd w:val="clear" w:color="auto" w:fill="FFFFFF"/>
        </w:rPr>
        <w:t>（三）</w:t>
      </w:r>
      <w:r>
        <w:rPr>
          <w:rFonts w:eastAsia="楷体_GB2312"/>
          <w:snapToGrid w:val="0"/>
          <w:kern w:val="0"/>
          <w:sz w:val="32"/>
          <w:szCs w:val="32"/>
          <w:shd w:val="clear" w:color="auto" w:fill="FFFFFF"/>
        </w:rPr>
        <w:t>基层医疗卫生机构诊疗量占总诊疗量的比例，为58.58%（目标值</w:t>
      </w:r>
      <w:r>
        <w:rPr>
          <w:rFonts w:hint="eastAsia" w:ascii="楷体_GB2312" w:eastAsia="楷体_GB2312"/>
          <w:snapToGrid w:val="0"/>
          <w:kern w:val="0"/>
          <w:sz w:val="32"/>
          <w:szCs w:val="32"/>
          <w:shd w:val="clear" w:color="auto" w:fill="FFFFFF"/>
          <w:lang w:bidi="ar-SA"/>
        </w:rPr>
        <w:t>≧</w:t>
      </w:r>
      <w:r>
        <w:rPr>
          <w:rFonts w:eastAsia="楷体_GB2312"/>
          <w:snapToGrid w:val="0"/>
          <w:kern w:val="0"/>
          <w:sz w:val="32"/>
          <w:szCs w:val="32"/>
          <w:shd w:val="clear" w:color="auto" w:fill="FFFFFF"/>
        </w:rPr>
        <w:t>59%）</w:t>
      </w:r>
    </w:p>
    <w:p w14:paraId="1A7CFA39">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snapToGrid w:val="0"/>
          <w:kern w:val="0"/>
          <w:sz w:val="32"/>
          <w:szCs w:val="32"/>
          <w:shd w:val="clear" w:color="auto" w:fill="FFFFFF"/>
          <w:lang w:bidi="ar-SA"/>
        </w:rPr>
      </w:pPr>
      <w:r>
        <w:rPr>
          <w:bCs/>
          <w:snapToGrid w:val="0"/>
          <w:kern w:val="0"/>
          <w:sz w:val="32"/>
          <w:szCs w:val="32"/>
          <w:shd w:val="clear" w:color="auto" w:fill="FFFFFF"/>
          <w:lang w:bidi="ar-SA"/>
        </w:rPr>
        <w:t>原因分析：</w:t>
      </w:r>
      <w:r>
        <w:rPr>
          <w:snapToGrid w:val="0"/>
          <w:kern w:val="0"/>
          <w:sz w:val="32"/>
          <w:szCs w:val="32"/>
          <w:shd w:val="clear" w:color="auto" w:fill="FFFFFF"/>
          <w:lang w:bidi="ar-SA"/>
        </w:rPr>
        <w:t>1.受薪资待遇、发展前景等因素影响，基层医疗机构人才引不进、留不住现象依旧突出，导致基层医疗机构医疗服务能力不足，留不住病人。2.随着城镇化进程加快，农村、乡镇人口逐步减少，基层病人来源减少。3.随着经济条件的好转和交通便利，更多群众首选城市大医院就医。</w:t>
      </w:r>
    </w:p>
    <w:p w14:paraId="3AF035CB">
      <w:pPr>
        <w:keepNext w:val="0"/>
        <w:keepLines w:val="0"/>
        <w:pageBreakBefore w:val="0"/>
        <w:widowControl w:val="0"/>
        <w:suppressLineNumbers w:val="0"/>
        <w:kinsoku/>
        <w:wordWrap/>
        <w:overflowPunct/>
        <w:topLinePunct w:val="0"/>
        <w:autoSpaceDE/>
        <w:autoSpaceDN/>
        <w:spacing w:before="0" w:line="578" w:lineRule="exact"/>
        <w:ind w:left="0" w:firstLine="640" w:firstLineChars="200"/>
        <w:rPr>
          <w:snapToGrid w:val="0"/>
          <w:kern w:val="0"/>
          <w:sz w:val="32"/>
          <w:szCs w:val="32"/>
          <w:shd w:val="clear" w:color="auto" w:fill="FFFFFF"/>
        </w:rPr>
      </w:pPr>
      <w:r>
        <w:rPr>
          <w:bCs/>
          <w:snapToGrid w:val="0"/>
          <w:kern w:val="0"/>
          <w:sz w:val="32"/>
          <w:szCs w:val="32"/>
          <w:shd w:val="clear" w:color="auto" w:fill="FFFFFF"/>
          <w:lang w:bidi="ar-SA"/>
        </w:rPr>
        <w:t>整改措施：</w:t>
      </w:r>
      <w:r>
        <w:rPr>
          <w:snapToGrid w:val="0"/>
          <w:kern w:val="0"/>
          <w:sz w:val="32"/>
          <w:szCs w:val="32"/>
          <w:shd w:val="clear" w:color="auto" w:fill="FFFFFF"/>
          <w:lang w:bidi="ar-SA"/>
        </w:rPr>
        <w:t>强化分级诊疗制度建设，依托紧密型城市医疗集团和紧密型县域医共体建设，帮助提升基层服务能力，发挥医保激励作用，引导群众基层首诊。</w:t>
      </w:r>
    </w:p>
    <w:p w14:paraId="11813F87">
      <w:pPr>
        <w:keepNext w:val="0"/>
        <w:keepLines w:val="0"/>
        <w:pageBreakBefore w:val="0"/>
        <w:widowControl w:val="0"/>
        <w:kinsoku/>
        <w:wordWrap/>
        <w:overflowPunct/>
        <w:topLinePunct w:val="0"/>
        <w:autoSpaceDE/>
        <w:autoSpaceDN/>
        <w:adjustRightInd/>
        <w:snapToGrid w:val="0"/>
        <w:spacing w:beforeAutospacing="0" w:afterAutospacing="0" w:line="578" w:lineRule="exact"/>
        <w:ind w:firstLine="600" w:firstLineChars="200"/>
        <w:rPr>
          <w:rFonts w:eastAsia="黑体"/>
          <w:bCs/>
          <w:szCs w:val="32"/>
        </w:rPr>
      </w:pPr>
      <w:r>
        <w:rPr>
          <w:rFonts w:eastAsia="黑体"/>
          <w:bCs/>
          <w:szCs w:val="32"/>
        </w:rPr>
        <w:t>四、绩效自评结果拟应用和公开情况</w:t>
      </w:r>
      <w:r>
        <w:rPr>
          <w:b w:val="0"/>
          <w:bCs w:val="0"/>
          <w:i w:val="0"/>
          <w:iCs w:val="0"/>
          <w:caps w:val="0"/>
          <w:smallCaps w:val="0"/>
          <w:vanish w:val="0"/>
          <w:spacing w:val="0"/>
          <w:sz w:val="24"/>
          <w:szCs w:val="24"/>
        </w:rPr>
        <w:t xml:space="preserve">  </w:t>
      </w:r>
    </w:p>
    <w:p w14:paraId="051D471B">
      <w:pPr>
        <w:keepNext w:val="0"/>
        <w:keepLines w:val="0"/>
        <w:pageBreakBefore w:val="0"/>
        <w:widowControl w:val="0"/>
        <w:kinsoku/>
        <w:wordWrap/>
        <w:overflowPunct/>
        <w:topLinePunct w:val="0"/>
        <w:autoSpaceDE/>
        <w:autoSpaceDN/>
        <w:adjustRightInd/>
        <w:snapToGrid w:val="0"/>
        <w:spacing w:beforeAutospacing="0" w:afterAutospacing="0" w:line="578" w:lineRule="exact"/>
        <w:ind w:firstLine="640" w:firstLineChars="200"/>
        <w:rPr>
          <w:bCs/>
          <w:snapToGrid w:val="0"/>
          <w:kern w:val="0"/>
          <w:sz w:val="32"/>
          <w:szCs w:val="32"/>
          <w:shd w:val="clear" w:color="auto" w:fill="FFFFFF"/>
        </w:rPr>
      </w:pPr>
      <w:r>
        <w:rPr>
          <w:snapToGrid w:val="0"/>
          <w:kern w:val="0"/>
          <w:sz w:val="32"/>
          <w:szCs w:val="32"/>
          <w:shd w:val="clear" w:color="auto" w:fill="FFFFFF"/>
        </w:rPr>
        <w:t>通过绩效评价，总结了项目资金管理经验教训，为下一年提高项目资金的使用效益，加强财政支出的规范管理、健全、完善支出项目和资金使用管理办法、完善预算编制和加强绩效目标管理等提供了重要参考。我们将自评结果应用于下年度资金安排，对资金使用和管理成效好县（市、区）进行了倾斜。同时，绩效自评报告报审后，</w:t>
      </w:r>
      <w:bookmarkStart w:id="0" w:name="_GoBack"/>
      <w:bookmarkEnd w:id="0"/>
      <w:r>
        <w:rPr>
          <w:snapToGrid w:val="0"/>
          <w:kern w:val="0"/>
          <w:sz w:val="32"/>
          <w:szCs w:val="32"/>
          <w:shd w:val="clear" w:color="auto" w:fill="FFFFFF"/>
        </w:rPr>
        <w:t>我们将依法在信息公开门户网站及时公开，接受社会监督。</w:t>
      </w:r>
    </w:p>
    <w:p w14:paraId="234DEB42">
      <w:pPr>
        <w:keepNext w:val="0"/>
        <w:keepLines w:val="0"/>
        <w:pageBreakBefore w:val="0"/>
        <w:widowControl w:val="0"/>
        <w:kinsoku/>
        <w:wordWrap/>
        <w:overflowPunct/>
        <w:topLinePunct w:val="0"/>
        <w:autoSpaceDE/>
        <w:autoSpaceDN/>
        <w:adjustRightInd/>
        <w:snapToGrid w:val="0"/>
        <w:spacing w:beforeAutospacing="0" w:afterAutospacing="0" w:line="578" w:lineRule="exact"/>
        <w:ind w:firstLine="600" w:firstLineChars="200"/>
        <w:rPr>
          <w:rFonts w:eastAsia="黑体"/>
          <w:bCs/>
          <w:szCs w:val="32"/>
        </w:rPr>
      </w:pPr>
      <w:r>
        <w:rPr>
          <w:rFonts w:eastAsia="黑体"/>
          <w:bCs/>
          <w:szCs w:val="32"/>
        </w:rPr>
        <w:t>五、其他需要说明的问题</w:t>
      </w:r>
    </w:p>
    <w:p w14:paraId="080452A0">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pPr>
      <w:r>
        <w:t>无</w:t>
      </w:r>
    </w:p>
    <w:p w14:paraId="6366D7E5">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rPr>
          <w:rFonts w:eastAsia="黑体"/>
        </w:rPr>
      </w:pPr>
      <w:r>
        <w:rPr>
          <w:rFonts w:eastAsia="黑体"/>
        </w:rPr>
        <w:t>六、附件</w:t>
      </w:r>
    </w:p>
    <w:p w14:paraId="0B312AD2">
      <w:pPr>
        <w:keepNext w:val="0"/>
        <w:keepLines w:val="0"/>
        <w:pageBreakBefore w:val="0"/>
        <w:widowControl w:val="0"/>
        <w:kinsoku/>
        <w:wordWrap/>
        <w:overflowPunct/>
        <w:topLinePunct w:val="0"/>
        <w:autoSpaceDE/>
        <w:autoSpaceDN/>
        <w:bidi w:val="0"/>
        <w:adjustRightInd/>
        <w:snapToGrid w:val="0"/>
        <w:spacing w:beforeAutospacing="0" w:afterAutospacing="0" w:line="578" w:lineRule="exact"/>
        <w:ind w:firstLine="600" w:firstLineChars="200"/>
        <w:textAlignment w:val="auto"/>
        <w:rPr>
          <w:rFonts w:eastAsia="黑体"/>
        </w:rPr>
      </w:pPr>
      <w:r>
        <w:t>达州市公立医院改革与高质量发展示范项目转移支付区域（项目）绩效自评表</w:t>
      </w:r>
    </w:p>
    <w:sectPr>
      <w:footerReference r:id="rId3" w:type="default"/>
      <w:footerReference r:id="rId4" w:type="even"/>
      <w:pgSz w:w="11906" w:h="16839"/>
      <w:pgMar w:top="2097" w:right="1474" w:bottom="1984" w:left="1587" w:header="851" w:footer="1446"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Lucida Sans">
    <w:altName w:val="DejaVu Sans"/>
    <w:panose1 w:val="020B0602030504020204"/>
    <w:charset w:val="00"/>
    <w:family w:val="auto"/>
    <w:pitch w:val="default"/>
    <w:sig w:usb0="00000000" w:usb1="00000000" w:usb2="00000000" w:usb3="00000000" w:csb0="2000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1F52">
    <w:pPr>
      <w:pStyle w:val="6"/>
      <w:framePr w:wrap="around" w:vAnchor="text" w:hAnchor="margin" w:xAlign="right" w:y="1"/>
      <w:pBdr>
        <w:top w:val="none" w:color="auto" w:sz="0" w:space="0"/>
        <w:left w:val="none" w:color="auto" w:sz="0" w:space="0"/>
        <w:bottom w:val="none" w:color="auto" w:sz="0" w:space="0"/>
        <w:right w:val="none" w:color="auto" w:sz="0" w:space="0"/>
      </w:pBdr>
      <w:rPr>
        <w:rFonts w:hint="eastAsia" w:ascii="宋体" w:hAnsi="宋体" w:eastAsia="宋体" w:cs="宋体"/>
        <w:sz w:val="28"/>
        <w:szCs w:val="28"/>
      </w:rPr>
    </w:pP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 1 —</w:t>
    </w:r>
    <w:r>
      <w:rPr>
        <w:rStyle w:val="12"/>
        <w:rFonts w:hint="eastAsia" w:ascii="宋体" w:hAnsi="宋体" w:eastAsia="宋体" w:cs="宋体"/>
        <w:sz w:val="28"/>
        <w:szCs w:val="28"/>
      </w:rPr>
      <w:fldChar w:fldCharType="end"/>
    </w:r>
  </w:p>
  <w:p w14:paraId="33E9FE65">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A888">
    <w:pPr>
      <w:pStyle w:val="6"/>
      <w:framePr w:wrap="around" w:vAnchor="text" w:hAnchor="margin" w:xAlign="right"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Fonts w:hint="eastAsia"/>
      </w:rPr>
      <w:t>— 1 —</w:t>
    </w:r>
    <w:r>
      <w:rPr>
        <w:rStyle w:val="12"/>
      </w:rPr>
      <w:fldChar w:fldCharType="end"/>
    </w:r>
  </w:p>
  <w:p w14:paraId="248F48EC">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 1 —</w:t>
    </w:r>
    <w:r>
      <w:rPr>
        <w:rStyle w:val="12"/>
      </w:rPr>
      <w:fldChar w:fldCharType="end"/>
    </w:r>
  </w:p>
  <w:p w14:paraId="4A5D5200">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50"/>
  <w:drawingGridVerticalSpacing w:val="581"/>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BD9ED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13"/>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link w:val="1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b/>
      <w:snapToGrid/>
      <w:color w:val="auto"/>
      <w:spacing w:val="0"/>
      <w:w w:val="100"/>
      <w:kern w:val="0"/>
      <w:position w:val="0"/>
      <w:sz w:val="27"/>
      <w:szCs w:val="21"/>
      <w:u w:val="none" w:color="auto"/>
      <w:shd w:val="clear" w:color="auto" w:fill="auto"/>
      <w:vertAlign w:val="baseline"/>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shd w:val="clear" w:color="auto" w:fill="auto"/>
      <w:vertAlign w:val="baseline"/>
      <w:lang w:val="en-US" w:eastAsia="zh-CN" w:bidi="ar-SA"/>
    </w:rPr>
  </w:style>
  <w:style w:type="character" w:styleId="11">
    <w:name w:val="Strong"/>
    <w:qFormat/>
    <w:uiPriority w:val="0"/>
    <w:rPr>
      <w:b/>
      <w:bCs/>
    </w:rPr>
  </w:style>
  <w:style w:type="character" w:styleId="12">
    <w:name w:val="page number"/>
    <w:basedOn w:val="10"/>
    <w:qFormat/>
    <w:uiPriority w:val="0"/>
  </w:style>
  <w:style w:type="character" w:customStyle="1" w:styleId="13">
    <w:name w:val="heading 1 Char"/>
    <w:basedOn w:val="10"/>
    <w:link w:val="2"/>
    <w:qFormat/>
    <w:uiPriority w:val="0"/>
    <w:rPr>
      <w:rFonts w:ascii="Times New Roman" w:hAnsi="Times New Roman" w:eastAsia="仿宋_GB2312" w:cs="Times New Roman"/>
      <w:b/>
      <w:bCs/>
      <w:kern w:val="44"/>
      <w:sz w:val="44"/>
      <w:szCs w:val="44"/>
      <w:lang w:val="en-US" w:eastAsia="zh-CN" w:bidi="ar-SA"/>
    </w:rPr>
  </w:style>
  <w:style w:type="character" w:customStyle="1" w:styleId="14">
    <w:name w:val="heading 2 Char"/>
    <w:basedOn w:val="10"/>
    <w:link w:val="3"/>
    <w:qFormat/>
    <w:uiPriority w:val="0"/>
    <w:rPr>
      <w:rFonts w:ascii="Times New Roman" w:hAnsi="Times New Roman" w:eastAsia="黑体" w:cs="Times New Roman"/>
      <w:b/>
      <w:bCs/>
      <w:kern w:val="2"/>
      <w:sz w:val="32"/>
      <w:szCs w:val="32"/>
      <w:lang w:val="en-US" w:eastAsia="zh-CN" w:bidi="ar-SA"/>
    </w:rPr>
  </w:style>
  <w:style w:type="character" w:customStyle="1" w:styleId="15">
    <w:name w:val="heading 3 Char"/>
    <w:basedOn w:val="10"/>
    <w:link w:val="4"/>
    <w:qFormat/>
    <w:uiPriority w:val="0"/>
    <w:rPr>
      <w:rFonts w:ascii="宋体" w:hAnsi="Times New Roman" w:eastAsia="宋体" w:cs="Times New Roman"/>
      <w:b/>
      <w:snapToGrid/>
      <w:color w:val="auto"/>
      <w:spacing w:val="0"/>
      <w:w w:val="100"/>
      <w:kern w:val="0"/>
      <w:position w:val="0"/>
      <w:sz w:val="27"/>
      <w:szCs w:val="21"/>
      <w:u w:val="none" w:color="auto"/>
      <w:shd w:val="clear" w:color="auto" w:fill="auto"/>
      <w:vertAlign w:val="baseli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pgNumType="\* ArabicDash2"/>
  </customProps>
</customData>
</file>

<file path=customXml/itemProps1.xml><?xml version="1.0" encoding="utf-8"?>
<ds:datastoreItem xmlns:ds="http://schemas.openxmlformats.org/officeDocument/2006/customXml" ds:itemID="{D5B035C5-2AFE-4F60-A1D5-E198B94978CE}">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7</Pages>
  <Words>0</Words>
  <Characters>2753</Characters>
  <Lines>0</Lines>
  <Paragraphs>43</Paragraphs>
  <TotalTime>378</TotalTime>
  <ScaleCrop>false</ScaleCrop>
  <LinksUpToDate>false</LinksUpToDate>
  <CharactersWithSpaces>3671</CharactersWithSpaces>
  <Application>WPS Office_12.8.2.1117_F1E327BC-269C-435d-A152-05C5408002CA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2019-02-19T14:26:00Z</dcterms:created>
  <dc:creator>lhn</dc:creator>
  <cp:lastModifiedBy>张妹宁</cp:lastModifiedBy>
  <cp:lastPrinted>2025-03-20T10:19:00Z</cp:lastPrinted>
  <dcterms:modified xsi:type="dcterms:W3CDTF">2025-03-25T14:57:51Z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BC9E745B1C9D3A4D8451C967B999A2BC</vt:lpwstr>
  </property>
</Properties>
</file>